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AB" w:rsidRDefault="006931AB">
      <w:pPr>
        <w:pStyle w:val="InsideAddressName"/>
      </w:pPr>
    </w:p>
    <w:p w:rsidR="006931AB" w:rsidRDefault="006931AB">
      <w:pPr>
        <w:ind w:left="-900"/>
      </w:pPr>
      <w:r>
        <w:tab/>
      </w:r>
    </w:p>
    <w:tbl>
      <w:tblPr>
        <w:tblW w:w="10548" w:type="dxa"/>
        <w:tblInd w:w="-900" w:type="dxa"/>
        <w:tblLook w:val="0000"/>
      </w:tblPr>
      <w:tblGrid>
        <w:gridCol w:w="10548"/>
      </w:tblGrid>
      <w:tr w:rsidR="006931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</w:tcPr>
          <w:p w:rsidR="006931AB" w:rsidRDefault="006931AB">
            <w:pPr>
              <w:pStyle w:val="Heading1"/>
              <w:rPr>
                <w:rFonts w:ascii="Clarendon Cd (WE)" w:hAnsi="Clarendon Cd (WE)"/>
                <w:i w:val="0"/>
                <w:iCs w:val="0"/>
                <w:sz w:val="90"/>
              </w:rPr>
            </w:pPr>
            <w:r>
              <w:rPr>
                <w:rFonts w:ascii="Clarendon Cd (WE)" w:hAnsi="Clarendon Cd (WE)"/>
                <w:i w:val="0"/>
                <w:iCs w:val="0"/>
                <w:sz w:val="90"/>
              </w:rPr>
              <w:t>INFORMATIONAL</w:t>
            </w:r>
          </w:p>
          <w:p w:rsidR="006931AB" w:rsidRDefault="006931AB">
            <w:pPr>
              <w:pStyle w:val="Heading1"/>
              <w:rPr>
                <w:rFonts w:ascii="Clarendon Cd (WE)" w:hAnsi="Clarendon Cd (WE)"/>
                <w:i w:val="0"/>
                <w:iCs w:val="0"/>
                <w:sz w:val="96"/>
              </w:rPr>
            </w:pPr>
            <w:r>
              <w:rPr>
                <w:rFonts w:ascii="Clarendon Cd (WE)" w:hAnsi="Clarendon Cd (WE)"/>
                <w:i w:val="0"/>
                <w:iCs w:val="0"/>
                <w:sz w:val="90"/>
              </w:rPr>
              <w:t>Immu-Fax</w:t>
            </w:r>
          </w:p>
          <w:p w:rsidR="006931AB" w:rsidRDefault="006931AB"/>
        </w:tc>
      </w:tr>
      <w:tr w:rsidR="006931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48" w:type="dxa"/>
          </w:tcPr>
          <w:p w:rsidR="006931AB" w:rsidRDefault="000956EF">
            <w:pPr>
              <w:pStyle w:val="Heading2"/>
              <w:jc w:val="center"/>
              <w:rPr>
                <w:sz w:val="2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165735</wp:posOffset>
                  </wp:positionV>
                  <wp:extent cx="1371600" cy="1250950"/>
                  <wp:effectExtent l="19050" t="0" r="0" b="0"/>
                  <wp:wrapNone/>
                  <wp:docPr id="4" name="Picture 4" descr="B&amp;W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&amp;W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931AB">
              <w:rPr>
                <w:sz w:val="28"/>
              </w:rPr>
              <w:t>From:</w:t>
            </w:r>
          </w:p>
          <w:p w:rsidR="006931AB" w:rsidRDefault="006931AB">
            <w:pPr>
              <w:pStyle w:val="Heading2"/>
              <w:jc w:val="center"/>
              <w:rPr>
                <w:bCs w:val="0"/>
                <w:sz w:val="28"/>
              </w:rPr>
            </w:pPr>
            <w:r>
              <w:rPr>
                <w:bCs w:val="0"/>
                <w:sz w:val="28"/>
              </w:rPr>
              <w:t xml:space="preserve">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Cs w:val="0"/>
                    <w:sz w:val="28"/>
                  </w:rPr>
                  <w:t>Maine</w:t>
                </w:r>
              </w:smartTag>
            </w:smartTag>
            <w:r>
              <w:rPr>
                <w:bCs w:val="0"/>
                <w:sz w:val="28"/>
              </w:rPr>
              <w:t xml:space="preserve"> Immunization Program</w:t>
            </w:r>
          </w:p>
          <w:p w:rsidR="006931AB" w:rsidRDefault="006931AB">
            <w:pPr>
              <w:pStyle w:val="Heading2"/>
              <w:jc w:val="center"/>
              <w:rPr>
                <w:b w:val="0"/>
                <w:bCs w:val="0"/>
                <w:strike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Department of Health and Human Services </w:t>
            </w:r>
          </w:p>
          <w:p w:rsidR="006931AB" w:rsidRDefault="006931AB">
            <w:pPr>
              <w:pStyle w:val="Heading6"/>
              <w:rPr>
                <w:b w:val="0"/>
                <w:sz w:val="22"/>
              </w:rPr>
            </w:pPr>
            <w:r>
              <w:rPr>
                <w:b w:val="0"/>
                <w:sz w:val="22"/>
                <w:szCs w:val="24"/>
              </w:rPr>
              <w:t xml:space="preserve">Public Health  -  </w:t>
            </w:r>
            <w:r>
              <w:rPr>
                <w:b w:val="0"/>
                <w:sz w:val="22"/>
              </w:rPr>
              <w:t>Division of Disease Control</w:t>
            </w:r>
          </w:p>
          <w:p w:rsidR="006931AB" w:rsidRDefault="006931AB">
            <w:pPr>
              <w:pStyle w:val="Heading5"/>
              <w:rPr>
                <w:b w:val="0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 w:val="0"/>
                    <w:sz w:val="22"/>
                  </w:rPr>
                  <w:t>286 Water St.</w:t>
                </w:r>
              </w:smartTag>
            </w:smartTag>
            <w:r>
              <w:rPr>
                <w:b w:val="0"/>
                <w:sz w:val="22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 w:val="0"/>
                    <w:sz w:val="22"/>
                  </w:rPr>
                  <w:t>Key</w:t>
                </w:r>
              </w:smartTag>
              <w:r>
                <w:rPr>
                  <w:b w:val="0"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 w:val="0"/>
                    <w:sz w:val="22"/>
                  </w:rPr>
                  <w:t>Plaza</w:t>
                </w:r>
              </w:smartTag>
            </w:smartTag>
            <w:r>
              <w:rPr>
                <w:b w:val="0"/>
                <w:sz w:val="22"/>
              </w:rPr>
              <w:t>, 9</w:t>
            </w:r>
            <w:r>
              <w:rPr>
                <w:b w:val="0"/>
                <w:sz w:val="22"/>
                <w:vertAlign w:val="superscript"/>
              </w:rPr>
              <w:t>th</w:t>
            </w:r>
            <w:r>
              <w:rPr>
                <w:b w:val="0"/>
                <w:sz w:val="22"/>
              </w:rPr>
              <w:t xml:space="preserve"> Floor</w:t>
            </w:r>
          </w:p>
          <w:p w:rsidR="006931AB" w:rsidRDefault="006931AB">
            <w:pPr>
              <w:pStyle w:val="Heading1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</w:rPr>
              <w:t>Augusta, Me 04333</w:t>
            </w:r>
          </w:p>
          <w:p w:rsidR="006931AB" w:rsidRDefault="006931AB">
            <w:pPr>
              <w:jc w:val="center"/>
              <w:rPr>
                <w:strike/>
              </w:rPr>
            </w:pPr>
          </w:p>
          <w:p w:rsidR="006931AB" w:rsidRDefault="006931AB">
            <w:pPr>
              <w:pStyle w:val="Heading4"/>
            </w:pPr>
            <w:r>
              <w:t>Jiancheng Huang, Director</w:t>
            </w:r>
          </w:p>
          <w:p w:rsidR="006931AB" w:rsidRDefault="006931AB">
            <w:pPr>
              <w:pStyle w:val="Heading4"/>
            </w:pPr>
            <w:r>
              <w:t>Shawn Box, Assistant Director</w:t>
            </w:r>
          </w:p>
        </w:tc>
      </w:tr>
    </w:tbl>
    <w:p w:rsidR="006931AB" w:rsidRDefault="006931AB">
      <w:pPr>
        <w:ind w:left="-900"/>
      </w:pPr>
    </w:p>
    <w:p w:rsidR="008725D1" w:rsidRDefault="008725D1" w:rsidP="008725D1">
      <w:pPr>
        <w:rPr>
          <w:rFonts w:ascii="Arial" w:hAnsi="Arial" w:cs="Arial"/>
          <w:sz w:val="32"/>
          <w:szCs w:val="32"/>
        </w:rPr>
      </w:pPr>
    </w:p>
    <w:p w:rsidR="008725D1" w:rsidRDefault="008725D1" w:rsidP="008725D1">
      <w:pPr>
        <w:rPr>
          <w:rFonts w:ascii="Arial" w:hAnsi="Arial" w:cs="Arial"/>
        </w:rPr>
      </w:pPr>
    </w:p>
    <w:p w:rsidR="008725D1" w:rsidRDefault="008725D1" w:rsidP="008725D1">
      <w:pPr>
        <w:jc w:val="center"/>
        <w:rPr>
          <w:rFonts w:ascii="Arial" w:hAnsi="Arial" w:cs="Arial"/>
          <w:b/>
          <w:sz w:val="32"/>
          <w:szCs w:val="32"/>
        </w:rPr>
      </w:pPr>
      <w:r w:rsidRPr="008725D1">
        <w:rPr>
          <w:rFonts w:ascii="Arial" w:hAnsi="Arial" w:cs="Arial"/>
          <w:b/>
          <w:sz w:val="32"/>
          <w:szCs w:val="32"/>
        </w:rPr>
        <w:t>PROQUAD UNAVA</w:t>
      </w:r>
      <w:r w:rsidR="00FE5F03">
        <w:rPr>
          <w:rFonts w:ascii="Arial" w:hAnsi="Arial" w:cs="Arial"/>
          <w:b/>
          <w:sz w:val="32"/>
          <w:szCs w:val="32"/>
        </w:rPr>
        <w:t>I</w:t>
      </w:r>
      <w:r w:rsidRPr="008725D1">
        <w:rPr>
          <w:rFonts w:ascii="Arial" w:hAnsi="Arial" w:cs="Arial"/>
          <w:b/>
          <w:sz w:val="32"/>
          <w:szCs w:val="32"/>
        </w:rPr>
        <w:t>L</w:t>
      </w:r>
      <w:r w:rsidR="00FE5F03">
        <w:rPr>
          <w:rFonts w:ascii="Arial" w:hAnsi="Arial" w:cs="Arial"/>
          <w:b/>
          <w:sz w:val="32"/>
          <w:szCs w:val="32"/>
        </w:rPr>
        <w:t>A</w:t>
      </w:r>
      <w:r w:rsidRPr="008725D1">
        <w:rPr>
          <w:rFonts w:ascii="Arial" w:hAnsi="Arial" w:cs="Arial"/>
          <w:b/>
          <w:sz w:val="32"/>
          <w:szCs w:val="32"/>
        </w:rPr>
        <w:t>BLE UNTIL FU</w:t>
      </w:r>
      <w:r w:rsidR="004174A4">
        <w:rPr>
          <w:rFonts w:ascii="Arial" w:hAnsi="Arial" w:cs="Arial"/>
          <w:b/>
          <w:sz w:val="32"/>
          <w:szCs w:val="32"/>
        </w:rPr>
        <w:t>R</w:t>
      </w:r>
      <w:r w:rsidRPr="008725D1">
        <w:rPr>
          <w:rFonts w:ascii="Arial" w:hAnsi="Arial" w:cs="Arial"/>
          <w:b/>
          <w:sz w:val="32"/>
          <w:szCs w:val="32"/>
        </w:rPr>
        <w:t>THER NOTICE</w:t>
      </w:r>
    </w:p>
    <w:p w:rsidR="008725D1" w:rsidRDefault="008725D1" w:rsidP="008725D1">
      <w:pPr>
        <w:jc w:val="center"/>
        <w:rPr>
          <w:rFonts w:ascii="Arial" w:hAnsi="Arial" w:cs="Arial"/>
          <w:b/>
          <w:sz w:val="32"/>
          <w:szCs w:val="32"/>
        </w:rPr>
      </w:pPr>
    </w:p>
    <w:p w:rsidR="008725D1" w:rsidRDefault="008725D1" w:rsidP="008725D1">
      <w:pPr>
        <w:rPr>
          <w:rFonts w:ascii="Arial" w:hAnsi="Arial" w:cs="Arial"/>
          <w:sz w:val="32"/>
          <w:szCs w:val="32"/>
        </w:rPr>
      </w:pPr>
      <w:r w:rsidRPr="008725D1">
        <w:rPr>
          <w:rFonts w:ascii="Arial" w:hAnsi="Arial" w:cs="Arial"/>
          <w:sz w:val="32"/>
          <w:szCs w:val="32"/>
        </w:rPr>
        <w:t>May 14, 2007</w:t>
      </w:r>
    </w:p>
    <w:p w:rsidR="008725D1" w:rsidRPr="008725D1" w:rsidRDefault="008725D1" w:rsidP="008725D1">
      <w:pPr>
        <w:rPr>
          <w:rFonts w:ascii="Arial" w:hAnsi="Arial" w:cs="Arial"/>
          <w:sz w:val="32"/>
          <w:szCs w:val="32"/>
        </w:rPr>
      </w:pPr>
    </w:p>
    <w:p w:rsidR="00762187" w:rsidRDefault="008725D1" w:rsidP="008725D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Maine </w:t>
      </w:r>
      <w:r w:rsidR="00FE5F03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 xml:space="preserve">mmunization Program will no longer be accepting ProQuad orders. </w:t>
      </w:r>
      <w:r w:rsidR="00762187">
        <w:rPr>
          <w:rFonts w:ascii="Arial" w:hAnsi="Arial" w:cs="Arial"/>
          <w:sz w:val="32"/>
          <w:szCs w:val="32"/>
        </w:rPr>
        <w:t xml:space="preserve">Previous orders submitted to the MIP will see extended delivery times.  ProQuad is </w:t>
      </w:r>
      <w:r w:rsidR="00762187" w:rsidRPr="004200FD">
        <w:rPr>
          <w:rFonts w:ascii="Arial" w:hAnsi="Arial" w:cs="Arial"/>
          <w:b/>
          <w:sz w:val="32"/>
          <w:szCs w:val="32"/>
        </w:rPr>
        <w:t>not</w:t>
      </w:r>
      <w:r w:rsidR="00762187">
        <w:rPr>
          <w:rFonts w:ascii="Arial" w:hAnsi="Arial" w:cs="Arial"/>
          <w:sz w:val="32"/>
          <w:szCs w:val="32"/>
        </w:rPr>
        <w:t xml:space="preserve"> expected to be available for the remainder of 2007.</w:t>
      </w:r>
    </w:p>
    <w:p w:rsidR="00762187" w:rsidRDefault="00762187" w:rsidP="008725D1">
      <w:pPr>
        <w:rPr>
          <w:rFonts w:ascii="Arial" w:hAnsi="Arial" w:cs="Arial"/>
          <w:sz w:val="32"/>
          <w:szCs w:val="32"/>
        </w:rPr>
      </w:pPr>
    </w:p>
    <w:p w:rsidR="008725D1" w:rsidRDefault="008725D1">
      <w:r w:rsidRPr="008725D1">
        <w:rPr>
          <w:rFonts w:ascii="Arial" w:hAnsi="Arial" w:cs="Arial"/>
          <w:sz w:val="32"/>
          <w:szCs w:val="32"/>
        </w:rPr>
        <w:t xml:space="preserve">Providers should plan to use Varivax and MMR in place of ProQuad </w:t>
      </w:r>
      <w:r>
        <w:rPr>
          <w:rFonts w:ascii="Arial" w:hAnsi="Arial" w:cs="Arial"/>
          <w:sz w:val="32"/>
          <w:szCs w:val="32"/>
        </w:rPr>
        <w:t xml:space="preserve">until further notice. </w:t>
      </w:r>
      <w:r w:rsidR="00FE5F03">
        <w:rPr>
          <w:rFonts w:ascii="Arial" w:hAnsi="Arial" w:cs="Arial"/>
          <w:sz w:val="32"/>
          <w:szCs w:val="32"/>
        </w:rPr>
        <w:t xml:space="preserve">Based </w:t>
      </w:r>
      <w:r w:rsidRPr="008725D1">
        <w:rPr>
          <w:rFonts w:ascii="Arial" w:hAnsi="Arial" w:cs="Arial"/>
          <w:sz w:val="32"/>
          <w:szCs w:val="32"/>
        </w:rPr>
        <w:t>o</w:t>
      </w:r>
      <w:r w:rsidR="00FE5F03">
        <w:rPr>
          <w:rFonts w:ascii="Arial" w:hAnsi="Arial" w:cs="Arial"/>
          <w:sz w:val="32"/>
          <w:szCs w:val="32"/>
        </w:rPr>
        <w:t>n</w:t>
      </w:r>
      <w:r w:rsidRPr="008725D1">
        <w:rPr>
          <w:rFonts w:ascii="Arial" w:hAnsi="Arial" w:cs="Arial"/>
          <w:sz w:val="32"/>
          <w:szCs w:val="32"/>
        </w:rPr>
        <w:t xml:space="preserve"> the May 11 MMWR</w:t>
      </w:r>
      <w:r w:rsidR="00FE5F03">
        <w:rPr>
          <w:rFonts w:ascii="Arial" w:hAnsi="Arial" w:cs="Arial"/>
          <w:sz w:val="32"/>
          <w:szCs w:val="32"/>
        </w:rPr>
        <w:t>,</w:t>
      </w:r>
      <w:r w:rsidRPr="008725D1">
        <w:rPr>
          <w:rFonts w:ascii="Arial" w:hAnsi="Arial" w:cs="Arial"/>
          <w:sz w:val="32"/>
          <w:szCs w:val="32"/>
        </w:rPr>
        <w:t xml:space="preserve"> Merck prioritized the production of Varivax and Zostavax over ProQuad due to lowe</w:t>
      </w:r>
      <w:r w:rsidR="00267E63">
        <w:rPr>
          <w:rFonts w:ascii="Arial" w:hAnsi="Arial" w:cs="Arial"/>
          <w:sz w:val="32"/>
          <w:szCs w:val="32"/>
        </w:rPr>
        <w:t xml:space="preserve">r than expected VZV bulk yields causing the unavailability of the ProQuad vaccine.  </w:t>
      </w:r>
      <w:r w:rsidRPr="008725D1">
        <w:rPr>
          <w:rFonts w:ascii="Arial" w:hAnsi="Arial" w:cs="Arial"/>
          <w:sz w:val="32"/>
          <w:szCs w:val="32"/>
        </w:rPr>
        <w:t> </w:t>
      </w:r>
      <w:r w:rsidR="004200FD">
        <w:rPr>
          <w:rFonts w:ascii="Arial" w:hAnsi="Arial" w:cs="Arial"/>
          <w:sz w:val="32"/>
          <w:szCs w:val="32"/>
        </w:rPr>
        <w:t xml:space="preserve"> </w:t>
      </w:r>
    </w:p>
    <w:p w:rsidR="00762187" w:rsidRDefault="00762187"/>
    <w:sectPr w:rsidR="00762187">
      <w:pgSz w:w="12240" w:h="15840"/>
      <w:pgMar w:top="720" w:right="180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mond (WT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larendon Cd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ocumentType w:val="letter"/>
  <w:defaultTabStop w:val="720"/>
  <w:noPunctuationKerning/>
  <w:characterSpacingControl w:val="doNotCompress"/>
  <w:compat/>
  <w:rsids>
    <w:rsidRoot w:val="008725D1"/>
    <w:rsid w:val="000372C4"/>
    <w:rsid w:val="000956EF"/>
    <w:rsid w:val="00267E63"/>
    <w:rsid w:val="004174A4"/>
    <w:rsid w:val="004200FD"/>
    <w:rsid w:val="006931AB"/>
    <w:rsid w:val="00762187"/>
    <w:rsid w:val="008725D1"/>
    <w:rsid w:val="00EB18D4"/>
    <w:rsid w:val="00FE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mond (WT)" w:hAnsi="Garmond (WT)"/>
      <w:b/>
      <w:bCs/>
      <w:i/>
      <w:i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1080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InsideAddressName">
    <w:name w:val="Inside Address Name"/>
    <w:basedOn w:val="Normal"/>
  </w:style>
  <w:style w:type="paragraph" w:styleId="Salutation">
    <w:name w:val="Salutation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paragraph" w:styleId="Date">
    <w:name w:val="Date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lockText">
    <w:name w:val="Block Text"/>
    <w:basedOn w:val="Normal"/>
    <w:pPr>
      <w:ind w:left="144" w:right="14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GRAM\IMMUNIZE\Blastfax\Sheet%20Templates\Informatio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Informational.dot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 - DHS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kathleen.mahoney</cp:lastModifiedBy>
  <cp:revision>2</cp:revision>
  <cp:lastPrinted>2007-05-14T19:35:00Z</cp:lastPrinted>
  <dcterms:created xsi:type="dcterms:W3CDTF">2011-01-12T13:47:00Z</dcterms:created>
  <dcterms:modified xsi:type="dcterms:W3CDTF">2011-01-12T13:47:00Z</dcterms:modified>
</cp:coreProperties>
</file>