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6200" w14:textId="77777777" w:rsidR="000E4973" w:rsidRDefault="000E4973" w:rsidP="00F64FF5">
      <w:pPr>
        <w:jc w:val="center"/>
        <w:rPr>
          <w:rFonts w:ascii="Bodoni MT Black" w:hAnsi="Bodoni MT Black"/>
          <w:i/>
          <w:sz w:val="32"/>
          <w:szCs w:val="32"/>
          <w:u w:val="single"/>
        </w:rPr>
      </w:pPr>
    </w:p>
    <w:p w14:paraId="66DA85F8" w14:textId="77777777" w:rsidR="00F64FF5" w:rsidRPr="004F5FF3" w:rsidRDefault="00AC7A90" w:rsidP="00F64FF5">
      <w:pPr>
        <w:jc w:val="center"/>
        <w:rPr>
          <w:rFonts w:ascii="Bodoni MT Black" w:hAnsi="Bodoni MT Black"/>
          <w:i/>
          <w:sz w:val="32"/>
          <w:szCs w:val="32"/>
          <w:u w:val="single"/>
        </w:rPr>
      </w:pPr>
      <w:r w:rsidRPr="004F5FF3">
        <w:rPr>
          <w:rFonts w:ascii="Bodoni MT Black" w:hAnsi="Bodoni MT Black"/>
          <w:i/>
          <w:sz w:val="32"/>
          <w:szCs w:val="32"/>
          <w:u w:val="single"/>
        </w:rPr>
        <w:t>Reports that Impact</w:t>
      </w:r>
      <w:r w:rsidR="004F5FF3" w:rsidRPr="004F5FF3">
        <w:rPr>
          <w:rFonts w:ascii="Bodoni MT Black" w:hAnsi="Bodoni MT Black"/>
          <w:i/>
          <w:sz w:val="32"/>
          <w:szCs w:val="32"/>
          <w:u w:val="single"/>
        </w:rPr>
        <w:t xml:space="preserve"> the ED 279 Subsidy Calculation</w:t>
      </w:r>
    </w:p>
    <w:p w14:paraId="6852717A" w14:textId="77777777" w:rsidR="009072D6" w:rsidRPr="008316C6" w:rsidRDefault="00AC7A90" w:rsidP="00F64FF5">
      <w:pPr>
        <w:spacing w:before="120"/>
      </w:pPr>
      <w:r>
        <w:t xml:space="preserve">Title 20-A </w:t>
      </w:r>
      <w:r w:rsidR="00322610">
        <w:t xml:space="preserve">MRS </w:t>
      </w:r>
      <w:r>
        <w:t>§15689-B, Subsection 2, requires the Commissioner of Education to annually notify each school board of the estimated amount to be allocated to the school administrative unit in the upcoming school year prior to February 1</w:t>
      </w:r>
      <w:r w:rsidRPr="00AC7A90">
        <w:rPr>
          <w:vertAlign w:val="superscript"/>
        </w:rPr>
        <w:t>st</w:t>
      </w:r>
      <w:r>
        <w:t>.</w:t>
      </w:r>
    </w:p>
    <w:p w14:paraId="3DD85539" w14:textId="77777777" w:rsidR="009072D6" w:rsidRDefault="00AC7A90" w:rsidP="00F64FF5">
      <w:pPr>
        <w:spacing w:before="120"/>
      </w:pPr>
      <w:r>
        <w:t xml:space="preserve">In order to properly calculate the allocation for the upcoming school year and </w:t>
      </w:r>
      <w:r w:rsidR="00322610">
        <w:t xml:space="preserve">to </w:t>
      </w:r>
      <w:r>
        <w:t>provide those amounts to the school administrative units</w:t>
      </w:r>
      <w:r w:rsidR="00322610">
        <w:t xml:space="preserve"> by the statutory deadline</w:t>
      </w:r>
      <w:r>
        <w:t xml:space="preserve">, it is necessary for all the data to be collected and correct by </w:t>
      </w:r>
      <w:r w:rsidR="00543413">
        <w:t>November</w:t>
      </w:r>
      <w:r>
        <w:t xml:space="preserve"> </w:t>
      </w:r>
      <w:r w:rsidR="00543413">
        <w:t>1</w:t>
      </w:r>
      <w:r w:rsidR="00543413" w:rsidRPr="00543413">
        <w:rPr>
          <w:vertAlign w:val="superscript"/>
        </w:rPr>
        <w:t>st</w:t>
      </w:r>
      <w:r w:rsidR="00543413">
        <w:t xml:space="preserve"> </w:t>
      </w:r>
      <w:r>
        <w:t>of each year.</w:t>
      </w:r>
    </w:p>
    <w:p w14:paraId="2F4A47DF" w14:textId="77777777" w:rsidR="00897C14" w:rsidRDefault="00897C14" w:rsidP="00F64FF5">
      <w:pPr>
        <w:spacing w:before="120"/>
      </w:pPr>
      <w:r>
        <w:t xml:space="preserve">The following </w:t>
      </w:r>
      <w:r w:rsidR="00322610">
        <w:t xml:space="preserve">list </w:t>
      </w:r>
      <w:r>
        <w:t xml:space="preserve">provides information about </w:t>
      </w:r>
      <w:r w:rsidR="00322610">
        <w:t xml:space="preserve">the </w:t>
      </w:r>
      <w:r>
        <w:t xml:space="preserve">required data elements used for the EPS Calculation and when they </w:t>
      </w:r>
      <w:r w:rsidR="00322610">
        <w:t xml:space="preserve">are </w:t>
      </w:r>
      <w:r>
        <w:t xml:space="preserve">due by the school administrative </w:t>
      </w:r>
      <w:r w:rsidR="00E1600F">
        <w:t>units</w:t>
      </w:r>
      <w:r>
        <w:t>.</w:t>
      </w:r>
    </w:p>
    <w:p w14:paraId="4FB3F985" w14:textId="77777777" w:rsidR="001C3506" w:rsidRPr="00B43970" w:rsidRDefault="001C3506" w:rsidP="00F64FF5">
      <w:pPr>
        <w:spacing w:before="120"/>
        <w:rPr>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1C3506" w14:paraId="4F3F36D5" w14:textId="77777777" w:rsidTr="004F1910">
        <w:trPr>
          <w:trHeight w:val="720"/>
        </w:trPr>
        <w:tc>
          <w:tcPr>
            <w:tcW w:w="10548" w:type="dxa"/>
            <w:shd w:val="clear" w:color="auto" w:fill="C6D9F1"/>
            <w:vAlign w:val="bottom"/>
          </w:tcPr>
          <w:p w14:paraId="46785668" w14:textId="77777777" w:rsidR="001C3506" w:rsidRDefault="00F90E4B" w:rsidP="003127E1">
            <w:pPr>
              <w:jc w:val="center"/>
              <w:rPr>
                <w:b/>
                <w:sz w:val="28"/>
                <w:szCs w:val="28"/>
              </w:rPr>
            </w:pPr>
            <w:r>
              <w:rPr>
                <w:b/>
                <w:sz w:val="28"/>
                <w:szCs w:val="28"/>
              </w:rPr>
              <w:t xml:space="preserve">Deadline for </w:t>
            </w:r>
            <w:r w:rsidR="00EC7D75">
              <w:rPr>
                <w:b/>
                <w:sz w:val="28"/>
                <w:szCs w:val="28"/>
              </w:rPr>
              <w:t>Submission/</w:t>
            </w:r>
            <w:r w:rsidR="00E37CF7">
              <w:rPr>
                <w:b/>
                <w:sz w:val="28"/>
                <w:szCs w:val="28"/>
              </w:rPr>
              <w:t>Certification</w:t>
            </w:r>
            <w:r>
              <w:rPr>
                <w:b/>
                <w:sz w:val="28"/>
                <w:szCs w:val="28"/>
              </w:rPr>
              <w:t xml:space="preserve"> of </w:t>
            </w:r>
            <w:r w:rsidR="00E37CF7">
              <w:rPr>
                <w:b/>
                <w:sz w:val="28"/>
                <w:szCs w:val="28"/>
              </w:rPr>
              <w:t>Data used in Calculating Subsidy (EPS)</w:t>
            </w:r>
          </w:p>
          <w:p w14:paraId="1197ADA0" w14:textId="77777777" w:rsidR="004F5FF3" w:rsidRPr="006F2D19" w:rsidRDefault="006F2D19" w:rsidP="003127E1">
            <w:pPr>
              <w:jc w:val="center"/>
              <w:rPr>
                <w:rFonts w:ascii="Bodoni MT Black" w:hAnsi="Bodoni MT Black"/>
                <w:color w:val="FF0000"/>
                <w:sz w:val="32"/>
                <w:szCs w:val="32"/>
                <w:u w:val="single"/>
              </w:rPr>
            </w:pPr>
            <w:r>
              <w:rPr>
                <w:rFonts w:ascii="Bodoni MT Black" w:hAnsi="Bodoni MT Black"/>
                <w:color w:val="FF0000"/>
                <w:sz w:val="32"/>
                <w:szCs w:val="32"/>
                <w:u w:val="single"/>
              </w:rPr>
              <w:t xml:space="preserve">Student Certification Opens </w:t>
            </w:r>
            <w:r w:rsidR="004F5FF3">
              <w:rPr>
                <w:rFonts w:ascii="Bodoni MT Black" w:hAnsi="Bodoni MT Black"/>
                <w:color w:val="FF0000"/>
                <w:sz w:val="32"/>
                <w:szCs w:val="32"/>
                <w:u w:val="single"/>
              </w:rPr>
              <w:t xml:space="preserve">October </w:t>
            </w:r>
            <w:r w:rsidR="00884C97">
              <w:rPr>
                <w:rFonts w:ascii="Bodoni MT Black" w:hAnsi="Bodoni MT Black"/>
                <w:color w:val="FF0000"/>
                <w:sz w:val="32"/>
                <w:szCs w:val="32"/>
                <w:u w:val="single"/>
              </w:rPr>
              <w:t>15</w:t>
            </w:r>
            <w:r w:rsidR="00884C97" w:rsidRPr="006F2D19">
              <w:rPr>
                <w:rFonts w:ascii="Bodoni MT Black" w:hAnsi="Bodoni MT Black"/>
                <w:color w:val="FF0000"/>
                <w:sz w:val="32"/>
                <w:szCs w:val="32"/>
                <w:u w:val="single"/>
              </w:rPr>
              <w:t>th</w:t>
            </w:r>
            <w:r w:rsidRPr="006F2D19">
              <w:rPr>
                <w:rFonts w:ascii="Bodoni MT Black" w:hAnsi="Bodoni MT Black"/>
                <w:color w:val="FF0000"/>
                <w:sz w:val="32"/>
                <w:szCs w:val="32"/>
                <w:u w:val="single"/>
              </w:rPr>
              <w:t xml:space="preserve"> – Due October 30th</w:t>
            </w:r>
          </w:p>
          <w:p w14:paraId="02EC7E70" w14:textId="77777777" w:rsidR="00E37CF7" w:rsidRPr="00FF6D9A" w:rsidRDefault="00E37CF7" w:rsidP="00E37CF7">
            <w:pPr>
              <w:numPr>
                <w:ilvl w:val="0"/>
                <w:numId w:val="1"/>
              </w:numPr>
              <w:rPr>
                <w:b/>
                <w:bCs/>
              </w:rPr>
            </w:pPr>
            <w:r w:rsidRPr="00FF6D9A">
              <w:rPr>
                <w:b/>
                <w:bCs/>
              </w:rPr>
              <w:t>Synergy Student Information System</w:t>
            </w:r>
          </w:p>
          <w:p w14:paraId="45BB41B7" w14:textId="77777777" w:rsidR="00E37CF7" w:rsidRDefault="00E37CF7" w:rsidP="00E37CF7">
            <w:pPr>
              <w:numPr>
                <w:ilvl w:val="1"/>
                <w:numId w:val="1"/>
              </w:numPr>
            </w:pPr>
            <w:r>
              <w:t>October 1</w:t>
            </w:r>
            <w:r w:rsidRPr="00E37CF7">
              <w:rPr>
                <w:vertAlign w:val="superscript"/>
              </w:rPr>
              <w:t>st</w:t>
            </w:r>
            <w:r>
              <w:t xml:space="preserve"> Resident Enrollment Report (Public Schools) including:</w:t>
            </w:r>
          </w:p>
          <w:p w14:paraId="3BD4D7B5" w14:textId="77777777" w:rsidR="00E37CF7" w:rsidRDefault="00E37CF7" w:rsidP="00E37CF7">
            <w:pPr>
              <w:numPr>
                <w:ilvl w:val="2"/>
                <w:numId w:val="1"/>
              </w:numPr>
            </w:pPr>
            <w:r>
              <w:t>Attending Students</w:t>
            </w:r>
          </w:p>
          <w:p w14:paraId="6F641D82" w14:textId="77777777" w:rsidR="00E37CF7" w:rsidRDefault="00E37CF7" w:rsidP="00E37CF7">
            <w:pPr>
              <w:numPr>
                <w:ilvl w:val="2"/>
                <w:numId w:val="1"/>
              </w:numPr>
            </w:pPr>
            <w:r>
              <w:t>Resident Students</w:t>
            </w:r>
          </w:p>
          <w:p w14:paraId="6ECCED80" w14:textId="77777777" w:rsidR="00E37CF7" w:rsidRDefault="00E37CF7" w:rsidP="00E37CF7">
            <w:pPr>
              <w:numPr>
                <w:ilvl w:val="2"/>
                <w:numId w:val="1"/>
              </w:numPr>
            </w:pPr>
            <w:r>
              <w:t>Superintendent Transfer Students</w:t>
            </w:r>
          </w:p>
          <w:p w14:paraId="46C02948" w14:textId="77777777" w:rsidR="00E37CF7" w:rsidRDefault="00E37CF7" w:rsidP="00E37CF7">
            <w:pPr>
              <w:numPr>
                <w:ilvl w:val="2"/>
                <w:numId w:val="1"/>
              </w:numPr>
            </w:pPr>
            <w:r>
              <w:t>Equivalent Instruction (Home School) Students taking a course(s) at the district</w:t>
            </w:r>
          </w:p>
          <w:p w14:paraId="54FC8AA5" w14:textId="77777777" w:rsidR="00E37CF7" w:rsidRDefault="00EC7D75" w:rsidP="00E37CF7">
            <w:pPr>
              <w:numPr>
                <w:ilvl w:val="2"/>
                <w:numId w:val="1"/>
              </w:numPr>
            </w:pPr>
            <w:r>
              <w:t>Economic Disadvantaged Students</w:t>
            </w:r>
          </w:p>
          <w:p w14:paraId="775FAD76" w14:textId="77777777" w:rsidR="00EC7D75" w:rsidRDefault="00EC7D75" w:rsidP="00E37CF7">
            <w:pPr>
              <w:numPr>
                <w:ilvl w:val="2"/>
                <w:numId w:val="1"/>
              </w:numPr>
            </w:pPr>
            <w:r>
              <w:t>English Learners</w:t>
            </w:r>
          </w:p>
          <w:p w14:paraId="2C8E79AF" w14:textId="77777777" w:rsidR="00EC7D75" w:rsidRDefault="00EC7D75" w:rsidP="00E37CF7">
            <w:pPr>
              <w:numPr>
                <w:ilvl w:val="2"/>
                <w:numId w:val="1"/>
              </w:numPr>
            </w:pPr>
            <w:r>
              <w:t>Special Education Students</w:t>
            </w:r>
          </w:p>
          <w:p w14:paraId="70DF051D" w14:textId="77777777" w:rsidR="00007DD9" w:rsidRDefault="00007DD9" w:rsidP="00E37CF7">
            <w:pPr>
              <w:numPr>
                <w:ilvl w:val="2"/>
                <w:numId w:val="1"/>
              </w:numPr>
            </w:pPr>
            <w:r>
              <w:t>CTE Enrollment</w:t>
            </w:r>
          </w:p>
          <w:p w14:paraId="36D421DF" w14:textId="77777777" w:rsidR="00C46927" w:rsidRPr="00FF6D9A" w:rsidRDefault="004F5FF3" w:rsidP="00C46927">
            <w:pPr>
              <w:numPr>
                <w:ilvl w:val="0"/>
                <w:numId w:val="1"/>
              </w:numPr>
              <w:rPr>
                <w:b/>
                <w:bCs/>
              </w:rPr>
            </w:pPr>
            <w:r w:rsidRPr="00FF6D9A">
              <w:rPr>
                <w:b/>
                <w:bCs/>
              </w:rPr>
              <w:t>Maine Education Financial System (MEFS)</w:t>
            </w:r>
          </w:p>
          <w:p w14:paraId="03243711" w14:textId="77777777" w:rsidR="004F5FF3" w:rsidRDefault="00007DD9" w:rsidP="004F5FF3">
            <w:pPr>
              <w:numPr>
                <w:ilvl w:val="1"/>
                <w:numId w:val="1"/>
              </w:numPr>
            </w:pPr>
            <w:r>
              <w:t xml:space="preserve">Prior </w:t>
            </w:r>
            <w:r w:rsidR="004F5FF3">
              <w:t xml:space="preserve">Year-End Financial Reporting – due by August </w:t>
            </w:r>
            <w:r>
              <w:t>30</w:t>
            </w:r>
            <w:r w:rsidRPr="00007DD9">
              <w:rPr>
                <w:vertAlign w:val="superscript"/>
              </w:rPr>
              <w:t>th</w:t>
            </w:r>
            <w:r>
              <w:t xml:space="preserve"> </w:t>
            </w:r>
          </w:p>
          <w:p w14:paraId="1F612C7E" w14:textId="77777777" w:rsidR="004F5FF3" w:rsidRDefault="004F5FF3" w:rsidP="004F5FF3">
            <w:pPr>
              <w:numPr>
                <w:ilvl w:val="2"/>
                <w:numId w:val="1"/>
              </w:numPr>
            </w:pPr>
            <w:r>
              <w:t>Actual Expenditures</w:t>
            </w:r>
          </w:p>
          <w:p w14:paraId="6DF4A2C8" w14:textId="77777777" w:rsidR="004F5FF3" w:rsidRDefault="004F5FF3" w:rsidP="004F5FF3">
            <w:pPr>
              <w:numPr>
                <w:ilvl w:val="2"/>
                <w:numId w:val="1"/>
              </w:numPr>
            </w:pPr>
            <w:r>
              <w:t>Actual Revenue</w:t>
            </w:r>
          </w:p>
          <w:p w14:paraId="5D15CEA9" w14:textId="77777777" w:rsidR="004F5FF3" w:rsidRDefault="004F5FF3" w:rsidP="004F5FF3">
            <w:pPr>
              <w:numPr>
                <w:ilvl w:val="2"/>
                <w:numId w:val="1"/>
              </w:numPr>
            </w:pPr>
            <w:r>
              <w:t>Balance Sheet Transactions</w:t>
            </w:r>
          </w:p>
          <w:p w14:paraId="28A61AEA" w14:textId="77777777" w:rsidR="004F5FF3" w:rsidRDefault="00007DD9" w:rsidP="004F5FF3">
            <w:pPr>
              <w:numPr>
                <w:ilvl w:val="1"/>
                <w:numId w:val="1"/>
              </w:numPr>
            </w:pPr>
            <w:r>
              <w:t>Current Year</w:t>
            </w:r>
            <w:r w:rsidR="004F5FF3">
              <w:t xml:space="preserve"> Budget Reporting</w:t>
            </w:r>
            <w:r w:rsidR="00741CD5">
              <w:t xml:space="preserve"> – due by August 15</w:t>
            </w:r>
            <w:r w:rsidR="00741CD5" w:rsidRPr="00741CD5">
              <w:rPr>
                <w:vertAlign w:val="superscript"/>
              </w:rPr>
              <w:t>th</w:t>
            </w:r>
            <w:r w:rsidR="00741CD5">
              <w:t xml:space="preserve"> </w:t>
            </w:r>
          </w:p>
          <w:p w14:paraId="07633D9B" w14:textId="77777777" w:rsidR="004F5FF3" w:rsidRDefault="004F5FF3" w:rsidP="004F5FF3">
            <w:pPr>
              <w:numPr>
                <w:ilvl w:val="2"/>
                <w:numId w:val="1"/>
              </w:numPr>
            </w:pPr>
            <w:r>
              <w:t>Budgeted Revenue</w:t>
            </w:r>
            <w:r w:rsidR="00741CD5">
              <w:t>s &amp; Budgeted Expenditures</w:t>
            </w:r>
          </w:p>
          <w:p w14:paraId="053F1870" w14:textId="77777777" w:rsidR="00FF6D9A" w:rsidRPr="003127E1" w:rsidRDefault="006F2D19" w:rsidP="00FF6D9A">
            <w:pPr>
              <w:jc w:val="center"/>
              <w:rPr>
                <w:b/>
                <w:sz w:val="28"/>
                <w:szCs w:val="28"/>
              </w:rPr>
            </w:pPr>
            <w:r>
              <w:rPr>
                <w:rFonts w:ascii="Bodoni MT Black" w:hAnsi="Bodoni MT Black"/>
                <w:color w:val="FF0000"/>
                <w:sz w:val="32"/>
                <w:szCs w:val="32"/>
                <w:u w:val="single"/>
              </w:rPr>
              <w:t xml:space="preserve">Staff Certification Due </w:t>
            </w:r>
            <w:r w:rsidR="001146B0">
              <w:rPr>
                <w:rFonts w:ascii="Bodoni MT Black" w:hAnsi="Bodoni MT Black"/>
                <w:color w:val="FF0000"/>
                <w:sz w:val="32"/>
                <w:szCs w:val="32"/>
                <w:u w:val="single"/>
              </w:rPr>
              <w:t>October</w:t>
            </w:r>
            <w:r w:rsidR="00FF6D9A">
              <w:rPr>
                <w:rFonts w:ascii="Bodoni MT Black" w:hAnsi="Bodoni MT Black"/>
                <w:color w:val="FF0000"/>
                <w:sz w:val="32"/>
                <w:szCs w:val="32"/>
                <w:u w:val="single"/>
              </w:rPr>
              <w:t xml:space="preserve"> </w:t>
            </w:r>
            <w:r w:rsidR="001146B0">
              <w:rPr>
                <w:rFonts w:ascii="Bodoni MT Black" w:hAnsi="Bodoni MT Black"/>
                <w:color w:val="FF0000"/>
                <w:sz w:val="32"/>
                <w:szCs w:val="32"/>
                <w:u w:val="single"/>
              </w:rPr>
              <w:t>30</w:t>
            </w:r>
            <w:r w:rsidR="00FF6D9A" w:rsidRPr="00884C97">
              <w:rPr>
                <w:rFonts w:ascii="Bodoni MT Black" w:hAnsi="Bodoni MT Black"/>
                <w:color w:val="FF0000"/>
                <w:sz w:val="32"/>
                <w:szCs w:val="32"/>
                <w:u w:val="single"/>
                <w:vertAlign w:val="superscript"/>
              </w:rPr>
              <w:t>th</w:t>
            </w:r>
            <w:r w:rsidR="00FF6D9A">
              <w:rPr>
                <w:rFonts w:ascii="Bodoni MT Black" w:hAnsi="Bodoni MT Black"/>
                <w:color w:val="FF0000"/>
                <w:sz w:val="32"/>
                <w:szCs w:val="32"/>
                <w:u w:val="single"/>
              </w:rPr>
              <w:t xml:space="preserve"> </w:t>
            </w:r>
          </w:p>
          <w:p w14:paraId="60992BD8" w14:textId="77777777" w:rsidR="00FF6D9A" w:rsidRPr="004F1910" w:rsidRDefault="00FF6D9A" w:rsidP="00FF6D9A">
            <w:pPr>
              <w:numPr>
                <w:ilvl w:val="0"/>
                <w:numId w:val="1"/>
              </w:numPr>
              <w:spacing w:after="240"/>
            </w:pPr>
            <w:r w:rsidRPr="004F1910">
              <w:rPr>
                <w:b/>
                <w:bCs/>
              </w:rPr>
              <w:t>NEO Staff Data</w:t>
            </w:r>
            <w:r w:rsidRPr="004F1910">
              <w:t xml:space="preserve"> – Specifically, but not limited to, EPS positions Regular &amp; CTE</w:t>
            </w:r>
          </w:p>
          <w:tbl>
            <w:tblPr>
              <w:tblW w:w="0" w:type="auto"/>
              <w:tblInd w:w="1440" w:type="dxa"/>
              <w:tblLook w:val="04A0" w:firstRow="1" w:lastRow="0" w:firstColumn="1" w:lastColumn="0" w:noHBand="0" w:noVBand="1"/>
            </w:tblPr>
            <w:tblGrid>
              <w:gridCol w:w="1525"/>
              <w:gridCol w:w="1710"/>
              <w:gridCol w:w="2340"/>
              <w:gridCol w:w="1890"/>
            </w:tblGrid>
            <w:tr w:rsidR="00FF6D9A" w14:paraId="6441E934" w14:textId="77777777" w:rsidTr="00FF6D9A">
              <w:tc>
                <w:tcPr>
                  <w:tcW w:w="1525" w:type="dxa"/>
                  <w:shd w:val="clear" w:color="auto" w:fill="auto"/>
                </w:tcPr>
                <w:p w14:paraId="6F33EF48" w14:textId="77777777" w:rsidR="00FF6D9A" w:rsidRDefault="00FF6D9A" w:rsidP="00FF6D9A">
                  <w:pPr>
                    <w:numPr>
                      <w:ilvl w:val="0"/>
                      <w:numId w:val="1"/>
                    </w:numPr>
                    <w:ind w:left="240" w:hanging="270"/>
                  </w:pPr>
                  <w:r>
                    <w:t>Teachers</w:t>
                  </w:r>
                </w:p>
              </w:tc>
              <w:tc>
                <w:tcPr>
                  <w:tcW w:w="1710" w:type="dxa"/>
                  <w:shd w:val="clear" w:color="auto" w:fill="auto"/>
                </w:tcPr>
                <w:p w14:paraId="366F99FD" w14:textId="77777777" w:rsidR="00FF6D9A" w:rsidRDefault="00FF6D9A" w:rsidP="00FF6D9A">
                  <w:pPr>
                    <w:numPr>
                      <w:ilvl w:val="0"/>
                      <w:numId w:val="1"/>
                    </w:numPr>
                    <w:ind w:left="256" w:hanging="270"/>
                  </w:pPr>
                  <w:r>
                    <w:t>Librarians</w:t>
                  </w:r>
                </w:p>
              </w:tc>
              <w:tc>
                <w:tcPr>
                  <w:tcW w:w="2340" w:type="dxa"/>
                  <w:shd w:val="clear" w:color="auto" w:fill="auto"/>
                </w:tcPr>
                <w:p w14:paraId="72734A0F" w14:textId="77777777" w:rsidR="00FF6D9A" w:rsidRDefault="00FF6D9A" w:rsidP="00FF6D9A">
                  <w:pPr>
                    <w:numPr>
                      <w:ilvl w:val="0"/>
                      <w:numId w:val="1"/>
                    </w:numPr>
                    <w:ind w:left="256" w:hanging="270"/>
                  </w:pPr>
                  <w:r>
                    <w:t>Education Techs</w:t>
                  </w:r>
                </w:p>
              </w:tc>
              <w:tc>
                <w:tcPr>
                  <w:tcW w:w="1890" w:type="dxa"/>
                  <w:shd w:val="clear" w:color="auto" w:fill="auto"/>
                </w:tcPr>
                <w:p w14:paraId="4BED28C5" w14:textId="77777777" w:rsidR="00FF6D9A" w:rsidRDefault="00FF6D9A" w:rsidP="00FF6D9A">
                  <w:pPr>
                    <w:numPr>
                      <w:ilvl w:val="0"/>
                      <w:numId w:val="1"/>
                    </w:numPr>
                    <w:ind w:left="256" w:hanging="270"/>
                  </w:pPr>
                  <w:r>
                    <w:t>Clerical</w:t>
                  </w:r>
                </w:p>
              </w:tc>
            </w:tr>
            <w:tr w:rsidR="00FF6D9A" w14:paraId="0E95D60B" w14:textId="77777777" w:rsidTr="009763BF">
              <w:tc>
                <w:tcPr>
                  <w:tcW w:w="1525" w:type="dxa"/>
                  <w:shd w:val="clear" w:color="auto" w:fill="auto"/>
                </w:tcPr>
                <w:p w14:paraId="4F9C4F59" w14:textId="77777777" w:rsidR="00FF6D9A" w:rsidRDefault="00FF6D9A" w:rsidP="00FF6D9A">
                  <w:pPr>
                    <w:numPr>
                      <w:ilvl w:val="1"/>
                      <w:numId w:val="1"/>
                    </w:numPr>
                    <w:ind w:left="240" w:hanging="270"/>
                  </w:pPr>
                  <w:r>
                    <w:t>Guidance</w:t>
                  </w:r>
                </w:p>
              </w:tc>
              <w:tc>
                <w:tcPr>
                  <w:tcW w:w="1710" w:type="dxa"/>
                  <w:shd w:val="clear" w:color="auto" w:fill="auto"/>
                </w:tcPr>
                <w:p w14:paraId="3A9CF2E8" w14:textId="77777777" w:rsidR="00FF6D9A" w:rsidRDefault="00FF6D9A" w:rsidP="00FF6D9A">
                  <w:pPr>
                    <w:numPr>
                      <w:ilvl w:val="1"/>
                      <w:numId w:val="1"/>
                    </w:numPr>
                    <w:ind w:left="256" w:hanging="270"/>
                  </w:pPr>
                  <w:r>
                    <w:t>Health</w:t>
                  </w:r>
                </w:p>
              </w:tc>
              <w:tc>
                <w:tcPr>
                  <w:tcW w:w="2340" w:type="dxa"/>
                  <w:shd w:val="clear" w:color="auto" w:fill="auto"/>
                </w:tcPr>
                <w:p w14:paraId="321F8580" w14:textId="77777777" w:rsidR="00FF6D9A" w:rsidRDefault="00FF6D9A" w:rsidP="00FF6D9A">
                  <w:pPr>
                    <w:numPr>
                      <w:ilvl w:val="1"/>
                      <w:numId w:val="1"/>
                    </w:numPr>
                    <w:ind w:left="256" w:hanging="270"/>
                  </w:pPr>
                  <w:r>
                    <w:t>Library Techs</w:t>
                  </w:r>
                </w:p>
              </w:tc>
              <w:tc>
                <w:tcPr>
                  <w:tcW w:w="1890" w:type="dxa"/>
                  <w:shd w:val="clear" w:color="auto" w:fill="auto"/>
                </w:tcPr>
                <w:p w14:paraId="7E514375" w14:textId="77777777" w:rsidR="00FF6D9A" w:rsidRDefault="00FF6D9A" w:rsidP="00FF6D9A">
                  <w:pPr>
                    <w:numPr>
                      <w:ilvl w:val="1"/>
                      <w:numId w:val="1"/>
                    </w:numPr>
                    <w:ind w:left="256" w:hanging="270"/>
                  </w:pPr>
                  <w:r>
                    <w:t>School Admin</w:t>
                  </w:r>
                </w:p>
              </w:tc>
            </w:tr>
          </w:tbl>
          <w:p w14:paraId="25412543" w14:textId="77777777" w:rsidR="001C3506" w:rsidRPr="004F5FF3" w:rsidRDefault="001C3506" w:rsidP="00741CD5"/>
        </w:tc>
      </w:tr>
      <w:tr w:rsidR="004A4FE5" w14:paraId="5E99A2CF" w14:textId="77777777" w:rsidTr="00EA6B22">
        <w:trPr>
          <w:trHeight w:val="791"/>
        </w:trPr>
        <w:tc>
          <w:tcPr>
            <w:tcW w:w="10548" w:type="dxa"/>
            <w:shd w:val="clear" w:color="auto" w:fill="auto"/>
          </w:tcPr>
          <w:p w14:paraId="47276BC2" w14:textId="77777777" w:rsidR="004A4FE5" w:rsidRPr="003127E1" w:rsidRDefault="004F5FF3" w:rsidP="003127E1">
            <w:pPr>
              <w:jc w:val="center"/>
              <w:rPr>
                <w:b/>
                <w:sz w:val="28"/>
                <w:szCs w:val="28"/>
              </w:rPr>
            </w:pPr>
            <w:r w:rsidRPr="004F5FF3">
              <w:rPr>
                <w:b/>
                <w:i/>
                <w:sz w:val="28"/>
                <w:szCs w:val="28"/>
                <w:u w:val="single"/>
              </w:rPr>
              <w:t>Absolute</w:t>
            </w:r>
            <w:r>
              <w:rPr>
                <w:b/>
                <w:sz w:val="28"/>
                <w:szCs w:val="28"/>
              </w:rPr>
              <w:t xml:space="preserve"> </w:t>
            </w:r>
            <w:r w:rsidR="00EC7D75">
              <w:rPr>
                <w:b/>
                <w:sz w:val="28"/>
                <w:szCs w:val="28"/>
              </w:rPr>
              <w:t>Deadline for any Revisions to Data Submitted/Certified from Above List</w:t>
            </w:r>
          </w:p>
          <w:p w14:paraId="4E5DDE46" w14:textId="77777777" w:rsidR="004A4FE5" w:rsidRDefault="00B019DE" w:rsidP="00EC7D75">
            <w:pPr>
              <w:jc w:val="center"/>
              <w:rPr>
                <w:rFonts w:ascii="Bodoni MT Black" w:hAnsi="Bodoni MT Black"/>
                <w:color w:val="FF0000"/>
                <w:sz w:val="32"/>
                <w:szCs w:val="32"/>
                <w:u w:val="single"/>
              </w:rPr>
            </w:pPr>
            <w:r>
              <w:rPr>
                <w:rFonts w:ascii="Bodoni MT Black" w:hAnsi="Bodoni MT Black"/>
                <w:color w:val="FF0000"/>
                <w:sz w:val="32"/>
                <w:szCs w:val="32"/>
                <w:u w:val="single"/>
              </w:rPr>
              <w:t>October</w:t>
            </w:r>
            <w:r w:rsidR="00EC7D75">
              <w:rPr>
                <w:rFonts w:ascii="Bodoni MT Black" w:hAnsi="Bodoni MT Black"/>
                <w:color w:val="FF0000"/>
                <w:sz w:val="32"/>
                <w:szCs w:val="32"/>
                <w:u w:val="single"/>
              </w:rPr>
              <w:t xml:space="preserve"> </w:t>
            </w:r>
            <w:r>
              <w:rPr>
                <w:rFonts w:ascii="Bodoni MT Black" w:hAnsi="Bodoni MT Black"/>
                <w:color w:val="FF0000"/>
                <w:sz w:val="32"/>
                <w:szCs w:val="32"/>
                <w:u w:val="single"/>
              </w:rPr>
              <w:t>3</w:t>
            </w:r>
            <w:r w:rsidR="00884C97">
              <w:rPr>
                <w:rFonts w:ascii="Bodoni MT Black" w:hAnsi="Bodoni MT Black"/>
                <w:color w:val="FF0000"/>
                <w:sz w:val="32"/>
                <w:szCs w:val="32"/>
                <w:u w:val="single"/>
              </w:rPr>
              <w:t>1</w:t>
            </w:r>
            <w:r w:rsidR="00884C97" w:rsidRPr="00884C97">
              <w:rPr>
                <w:rFonts w:ascii="Bodoni MT Black" w:hAnsi="Bodoni MT Black"/>
                <w:color w:val="FF0000"/>
                <w:sz w:val="32"/>
                <w:szCs w:val="32"/>
                <w:u w:val="single"/>
                <w:vertAlign w:val="superscript"/>
              </w:rPr>
              <w:t>st</w:t>
            </w:r>
            <w:r w:rsidR="00884C97">
              <w:rPr>
                <w:rFonts w:ascii="Bodoni MT Black" w:hAnsi="Bodoni MT Black"/>
                <w:color w:val="FF0000"/>
                <w:sz w:val="32"/>
                <w:szCs w:val="32"/>
                <w:u w:val="single"/>
              </w:rPr>
              <w:t xml:space="preserve"> </w:t>
            </w:r>
            <w:r w:rsidR="00FF6D9A">
              <w:rPr>
                <w:rFonts w:ascii="Bodoni MT Black" w:hAnsi="Bodoni MT Black"/>
                <w:color w:val="FF0000"/>
                <w:sz w:val="32"/>
                <w:szCs w:val="32"/>
                <w:u w:val="single"/>
              </w:rPr>
              <w:t>for Student &amp; Financial</w:t>
            </w:r>
          </w:p>
          <w:p w14:paraId="0224F362" w14:textId="77777777" w:rsidR="00FF6D9A" w:rsidRPr="00EC7D75" w:rsidRDefault="00FF6D9A" w:rsidP="00EC7D75">
            <w:pPr>
              <w:jc w:val="center"/>
              <w:rPr>
                <w:rFonts w:ascii="Bodoni MT Black" w:hAnsi="Bodoni MT Black"/>
                <w:color w:val="FF0000"/>
                <w:sz w:val="32"/>
                <w:szCs w:val="32"/>
                <w:u w:val="single"/>
              </w:rPr>
            </w:pPr>
            <w:r>
              <w:rPr>
                <w:rFonts w:ascii="Bodoni MT Black" w:hAnsi="Bodoni MT Black"/>
                <w:color w:val="FF0000"/>
                <w:sz w:val="32"/>
                <w:szCs w:val="32"/>
                <w:u w:val="single"/>
              </w:rPr>
              <w:t xml:space="preserve">November </w:t>
            </w:r>
            <w:r w:rsidR="001146B0">
              <w:rPr>
                <w:rFonts w:ascii="Bodoni MT Black" w:hAnsi="Bodoni MT Black"/>
                <w:color w:val="FF0000"/>
                <w:sz w:val="32"/>
                <w:szCs w:val="32"/>
                <w:u w:val="single"/>
              </w:rPr>
              <w:t>15</w:t>
            </w:r>
            <w:r w:rsidRPr="00FF6D9A">
              <w:rPr>
                <w:rFonts w:ascii="Bodoni MT Black" w:hAnsi="Bodoni MT Black"/>
                <w:color w:val="FF0000"/>
                <w:sz w:val="32"/>
                <w:szCs w:val="32"/>
                <w:u w:val="single"/>
                <w:vertAlign w:val="superscript"/>
              </w:rPr>
              <w:t>th</w:t>
            </w:r>
            <w:r>
              <w:rPr>
                <w:rFonts w:ascii="Bodoni MT Black" w:hAnsi="Bodoni MT Black"/>
                <w:color w:val="FF0000"/>
                <w:sz w:val="32"/>
                <w:szCs w:val="32"/>
                <w:u w:val="single"/>
              </w:rPr>
              <w:t xml:space="preserve"> for Staff</w:t>
            </w:r>
          </w:p>
        </w:tc>
      </w:tr>
      <w:tr w:rsidR="004A4FE5" w14:paraId="1E11429F" w14:textId="77777777" w:rsidTr="004F5FF3">
        <w:trPr>
          <w:trHeight w:val="854"/>
        </w:trPr>
        <w:tc>
          <w:tcPr>
            <w:tcW w:w="10548" w:type="dxa"/>
            <w:shd w:val="clear" w:color="auto" w:fill="DBE5F1"/>
          </w:tcPr>
          <w:p w14:paraId="4707BF7C" w14:textId="77777777" w:rsidR="004A4FE5" w:rsidRPr="003127E1" w:rsidRDefault="004F5FF3" w:rsidP="003127E1">
            <w:pPr>
              <w:jc w:val="center"/>
              <w:rPr>
                <w:b/>
                <w:sz w:val="28"/>
                <w:szCs w:val="28"/>
              </w:rPr>
            </w:pPr>
            <w:r>
              <w:rPr>
                <w:b/>
                <w:sz w:val="28"/>
                <w:szCs w:val="28"/>
              </w:rPr>
              <w:t>Public Posting of Preliminary ED 279 for all School Administrative Units</w:t>
            </w:r>
          </w:p>
          <w:p w14:paraId="0F49D230" w14:textId="77777777" w:rsidR="004A4FE5" w:rsidRPr="004F5FF3" w:rsidRDefault="00EA6B22" w:rsidP="004F5FF3">
            <w:pPr>
              <w:jc w:val="center"/>
              <w:rPr>
                <w:rFonts w:ascii="Bodoni MT Black" w:hAnsi="Bodoni MT Black"/>
                <w:color w:val="FF0000"/>
                <w:sz w:val="32"/>
                <w:szCs w:val="32"/>
                <w:u w:val="single"/>
              </w:rPr>
            </w:pPr>
            <w:r>
              <w:rPr>
                <w:rFonts w:ascii="Bodoni MT Black" w:hAnsi="Bodoni MT Black"/>
                <w:color w:val="FF0000"/>
                <w:sz w:val="32"/>
                <w:szCs w:val="32"/>
                <w:u w:val="single"/>
              </w:rPr>
              <w:t xml:space="preserve">Prior to </w:t>
            </w:r>
            <w:r w:rsidR="004F5FF3">
              <w:rPr>
                <w:rFonts w:ascii="Bodoni MT Black" w:hAnsi="Bodoni MT Black"/>
                <w:color w:val="FF0000"/>
                <w:sz w:val="32"/>
                <w:szCs w:val="32"/>
                <w:u w:val="single"/>
              </w:rPr>
              <w:t>February 1</w:t>
            </w:r>
            <w:r w:rsidR="004F5FF3" w:rsidRPr="004F5FF3">
              <w:rPr>
                <w:rFonts w:ascii="Bodoni MT Black" w:hAnsi="Bodoni MT Black"/>
                <w:color w:val="FF0000"/>
                <w:sz w:val="32"/>
                <w:szCs w:val="32"/>
                <w:u w:val="single"/>
                <w:vertAlign w:val="superscript"/>
              </w:rPr>
              <w:t>st</w:t>
            </w:r>
            <w:r w:rsidR="004F5FF3">
              <w:rPr>
                <w:rFonts w:ascii="Bodoni MT Black" w:hAnsi="Bodoni MT Black"/>
                <w:color w:val="FF0000"/>
                <w:sz w:val="32"/>
                <w:szCs w:val="32"/>
                <w:u w:val="single"/>
              </w:rPr>
              <w:t xml:space="preserve"> </w:t>
            </w:r>
          </w:p>
        </w:tc>
      </w:tr>
      <w:tr w:rsidR="004A4FE5" w14:paraId="27B903DC" w14:textId="77777777" w:rsidTr="004F5FF3">
        <w:trPr>
          <w:trHeight w:val="1070"/>
        </w:trPr>
        <w:tc>
          <w:tcPr>
            <w:tcW w:w="10548" w:type="dxa"/>
            <w:shd w:val="clear" w:color="auto" w:fill="auto"/>
          </w:tcPr>
          <w:p w14:paraId="173596AB" w14:textId="77777777" w:rsidR="004A4FE5" w:rsidRPr="003127E1" w:rsidRDefault="00FF3880" w:rsidP="003127E1">
            <w:pPr>
              <w:jc w:val="center"/>
              <w:rPr>
                <w:b/>
                <w:sz w:val="28"/>
                <w:szCs w:val="28"/>
              </w:rPr>
            </w:pPr>
            <w:r w:rsidRPr="00FF3880">
              <w:rPr>
                <w:b/>
                <w:i/>
                <w:sz w:val="28"/>
                <w:szCs w:val="28"/>
                <w:u w:val="single"/>
              </w:rPr>
              <w:t>Absolute</w:t>
            </w:r>
            <w:r>
              <w:rPr>
                <w:b/>
                <w:sz w:val="28"/>
                <w:szCs w:val="28"/>
              </w:rPr>
              <w:t xml:space="preserve"> Latest Date </w:t>
            </w:r>
            <w:r w:rsidR="004F5FF3">
              <w:rPr>
                <w:b/>
                <w:sz w:val="28"/>
                <w:szCs w:val="28"/>
              </w:rPr>
              <w:t>to Review and Notify</w:t>
            </w:r>
            <w:r w:rsidR="00322610">
              <w:rPr>
                <w:b/>
                <w:sz w:val="28"/>
                <w:szCs w:val="28"/>
              </w:rPr>
              <w:t xml:space="preserve"> </w:t>
            </w:r>
            <w:r w:rsidR="004F5FF3">
              <w:rPr>
                <w:b/>
                <w:sz w:val="28"/>
                <w:szCs w:val="28"/>
              </w:rPr>
              <w:t>DOE of Errors in Preliminary ED 279s</w:t>
            </w:r>
          </w:p>
          <w:p w14:paraId="7DE1EDD7" w14:textId="77777777" w:rsidR="004A4FE5" w:rsidRPr="003127E1" w:rsidRDefault="004F5FF3" w:rsidP="003127E1">
            <w:pPr>
              <w:jc w:val="center"/>
              <w:rPr>
                <w:rFonts w:ascii="Bodoni MT Black" w:hAnsi="Bodoni MT Black"/>
                <w:color w:val="FF0000"/>
                <w:sz w:val="32"/>
                <w:szCs w:val="32"/>
                <w:u w:val="single"/>
              </w:rPr>
            </w:pPr>
            <w:r>
              <w:rPr>
                <w:rFonts w:ascii="Bodoni MT Black" w:hAnsi="Bodoni MT Black"/>
                <w:color w:val="FF0000"/>
                <w:sz w:val="32"/>
                <w:szCs w:val="32"/>
                <w:u w:val="single"/>
              </w:rPr>
              <w:t xml:space="preserve">March </w:t>
            </w:r>
            <w:r w:rsidR="00EA6B22">
              <w:rPr>
                <w:rFonts w:ascii="Bodoni MT Black" w:hAnsi="Bodoni MT Black"/>
                <w:color w:val="FF0000"/>
                <w:sz w:val="32"/>
                <w:szCs w:val="32"/>
                <w:u w:val="single"/>
              </w:rPr>
              <w:t>3</w:t>
            </w:r>
            <w:r w:rsidR="00EA6B22" w:rsidRPr="00EA6B22">
              <w:rPr>
                <w:rFonts w:ascii="Bodoni MT Black" w:hAnsi="Bodoni MT Black"/>
                <w:color w:val="FF0000"/>
                <w:sz w:val="32"/>
                <w:szCs w:val="32"/>
                <w:u w:val="single"/>
                <w:vertAlign w:val="superscript"/>
              </w:rPr>
              <w:t>rd</w:t>
            </w:r>
            <w:r w:rsidR="00EA6B22">
              <w:rPr>
                <w:rFonts w:ascii="Bodoni MT Black" w:hAnsi="Bodoni MT Black"/>
                <w:color w:val="FF0000"/>
                <w:sz w:val="32"/>
                <w:szCs w:val="32"/>
                <w:u w:val="single"/>
              </w:rPr>
              <w:t xml:space="preserve"> or 30 days after Original Posting</w:t>
            </w:r>
          </w:p>
          <w:p w14:paraId="5F6E5B7F" w14:textId="77777777" w:rsidR="004A4FE5" w:rsidRPr="003127E1" w:rsidRDefault="004A4FE5" w:rsidP="00EA6B22">
            <w:pPr>
              <w:rPr>
                <w:b/>
                <w:color w:val="339966"/>
              </w:rPr>
            </w:pPr>
            <w:r w:rsidRPr="003127E1">
              <w:rPr>
                <w:b/>
                <w:color w:val="339966"/>
              </w:rPr>
              <w:t>(</w:t>
            </w:r>
            <w:r w:rsidR="004F5FF3">
              <w:rPr>
                <w:b/>
                <w:color w:val="339966"/>
              </w:rPr>
              <w:t xml:space="preserve">Any questions or errors </w:t>
            </w:r>
            <w:r w:rsidR="00EA6B22">
              <w:rPr>
                <w:b/>
                <w:color w:val="339966"/>
              </w:rPr>
              <w:t>on the posted</w:t>
            </w:r>
            <w:r w:rsidR="004F5FF3">
              <w:rPr>
                <w:b/>
                <w:color w:val="339966"/>
              </w:rPr>
              <w:t xml:space="preserve"> preliminary ED 279s must be identified and reported to the Maine DOE School Finance Team within 30 days of the posting of the preliminary ED 279s.  This does not guarantee a correction can</w:t>
            </w:r>
            <w:r w:rsidR="00322610">
              <w:rPr>
                <w:b/>
                <w:color w:val="339966"/>
              </w:rPr>
              <w:t xml:space="preserve"> or will</w:t>
            </w:r>
            <w:r w:rsidR="004F5FF3">
              <w:rPr>
                <w:b/>
                <w:color w:val="339966"/>
              </w:rPr>
              <w:t xml:space="preserve"> be </w:t>
            </w:r>
            <w:r w:rsidR="00884C97">
              <w:rPr>
                <w:b/>
                <w:color w:val="339966"/>
              </w:rPr>
              <w:t>made;</w:t>
            </w:r>
            <w:r w:rsidR="004F5FF3">
              <w:rPr>
                <w:b/>
                <w:color w:val="339966"/>
              </w:rPr>
              <w:t xml:space="preserve"> however, it</w:t>
            </w:r>
            <w:r w:rsidR="00322610">
              <w:rPr>
                <w:b/>
                <w:color w:val="339966"/>
              </w:rPr>
              <w:t xml:space="preserve"> </w:t>
            </w:r>
            <w:r w:rsidR="004F5FF3">
              <w:rPr>
                <w:b/>
                <w:color w:val="339966"/>
              </w:rPr>
              <w:t>allow</w:t>
            </w:r>
            <w:r w:rsidR="00322610">
              <w:rPr>
                <w:b/>
                <w:color w:val="339966"/>
              </w:rPr>
              <w:t>s</w:t>
            </w:r>
            <w:r w:rsidR="004F5FF3">
              <w:rPr>
                <w:b/>
                <w:color w:val="339966"/>
              </w:rPr>
              <w:t xml:space="preserve"> for the correction in a timely manner if funding </w:t>
            </w:r>
            <w:r w:rsidR="00EA6B22">
              <w:rPr>
                <w:b/>
                <w:color w:val="339966"/>
              </w:rPr>
              <w:t>is available</w:t>
            </w:r>
            <w:r w:rsidR="004F5FF3">
              <w:rPr>
                <w:b/>
                <w:color w:val="339966"/>
              </w:rPr>
              <w:t>.</w:t>
            </w:r>
            <w:r w:rsidRPr="003127E1">
              <w:rPr>
                <w:b/>
                <w:color w:val="339966"/>
              </w:rPr>
              <w:t>)</w:t>
            </w:r>
          </w:p>
        </w:tc>
      </w:tr>
    </w:tbl>
    <w:p w14:paraId="7FD5D7E6" w14:textId="77777777" w:rsidR="000F4308" w:rsidRPr="00D17B4D" w:rsidRDefault="000F4308" w:rsidP="00B43970">
      <w:pPr>
        <w:jc w:val="center"/>
        <w:rPr>
          <w:b/>
          <w:color w:val="339966"/>
          <w:sz w:val="16"/>
          <w:szCs w:val="16"/>
        </w:rPr>
      </w:pPr>
    </w:p>
    <w:sectPr w:rsidR="000F4308" w:rsidRPr="00D17B4D" w:rsidSect="00EA6B22">
      <w:headerReference w:type="default" r:id="rId11"/>
      <w:pgSz w:w="12240" w:h="15840"/>
      <w:pgMar w:top="54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27C9" w14:textId="77777777" w:rsidR="00F82621" w:rsidRDefault="00F82621" w:rsidP="000E4973">
      <w:r>
        <w:separator/>
      </w:r>
    </w:p>
  </w:endnote>
  <w:endnote w:type="continuationSeparator" w:id="0">
    <w:p w14:paraId="4575795A" w14:textId="77777777" w:rsidR="00F82621" w:rsidRDefault="00F82621" w:rsidP="000E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8F9C" w14:textId="77777777" w:rsidR="00F82621" w:rsidRDefault="00F82621" w:rsidP="000E4973">
      <w:r>
        <w:separator/>
      </w:r>
    </w:p>
  </w:footnote>
  <w:footnote w:type="continuationSeparator" w:id="0">
    <w:p w14:paraId="09DC81A9" w14:textId="77777777" w:rsidR="00F82621" w:rsidRDefault="00F82621" w:rsidP="000E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5A40" w14:textId="77777777" w:rsidR="000E4973" w:rsidRDefault="000E4973">
    <w:pPr>
      <w:pStyle w:val="Header"/>
    </w:pPr>
    <w:r>
      <w:rPr>
        <w:noProof/>
      </w:rPr>
      <w:pict w14:anchorId="3B175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8.75pt;margin-top:-21.75pt;width:130.35pt;height:48.05pt;z-index:-251658752">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B6729"/>
    <w:multiLevelType w:val="hybridMultilevel"/>
    <w:tmpl w:val="18A82F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90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035"/>
    <w:rsid w:val="00007DD9"/>
    <w:rsid w:val="00011A37"/>
    <w:rsid w:val="00031456"/>
    <w:rsid w:val="000415B0"/>
    <w:rsid w:val="000546AE"/>
    <w:rsid w:val="000761B0"/>
    <w:rsid w:val="00095F5C"/>
    <w:rsid w:val="000B1B39"/>
    <w:rsid w:val="000B206C"/>
    <w:rsid w:val="000B51F9"/>
    <w:rsid w:val="000E4973"/>
    <w:rsid w:val="000F0B25"/>
    <w:rsid w:val="000F4308"/>
    <w:rsid w:val="001146B0"/>
    <w:rsid w:val="00192EEA"/>
    <w:rsid w:val="001B7338"/>
    <w:rsid w:val="001C3506"/>
    <w:rsid w:val="00203748"/>
    <w:rsid w:val="002B1035"/>
    <w:rsid w:val="003127E1"/>
    <w:rsid w:val="00313802"/>
    <w:rsid w:val="00322610"/>
    <w:rsid w:val="0032566E"/>
    <w:rsid w:val="00327CE2"/>
    <w:rsid w:val="003874A7"/>
    <w:rsid w:val="003972BF"/>
    <w:rsid w:val="003E3876"/>
    <w:rsid w:val="00437C05"/>
    <w:rsid w:val="004A4FE5"/>
    <w:rsid w:val="004F1910"/>
    <w:rsid w:val="004F50FC"/>
    <w:rsid w:val="004F5FF3"/>
    <w:rsid w:val="00524F0E"/>
    <w:rsid w:val="00531288"/>
    <w:rsid w:val="00543413"/>
    <w:rsid w:val="00567D8F"/>
    <w:rsid w:val="005B7FBA"/>
    <w:rsid w:val="005C5FEE"/>
    <w:rsid w:val="006F2D19"/>
    <w:rsid w:val="00741CD5"/>
    <w:rsid w:val="007C71D9"/>
    <w:rsid w:val="007F5016"/>
    <w:rsid w:val="007F5E9B"/>
    <w:rsid w:val="008316C6"/>
    <w:rsid w:val="00857B9C"/>
    <w:rsid w:val="00860258"/>
    <w:rsid w:val="00884C97"/>
    <w:rsid w:val="00897C14"/>
    <w:rsid w:val="008A3046"/>
    <w:rsid w:val="008F5DEF"/>
    <w:rsid w:val="00906C4C"/>
    <w:rsid w:val="009072D6"/>
    <w:rsid w:val="0095069B"/>
    <w:rsid w:val="0095630F"/>
    <w:rsid w:val="009703CC"/>
    <w:rsid w:val="009763BF"/>
    <w:rsid w:val="0099052E"/>
    <w:rsid w:val="009E2348"/>
    <w:rsid w:val="00A004B6"/>
    <w:rsid w:val="00A14F96"/>
    <w:rsid w:val="00A73ACE"/>
    <w:rsid w:val="00A81112"/>
    <w:rsid w:val="00AC2373"/>
    <w:rsid w:val="00AC7A90"/>
    <w:rsid w:val="00AE222C"/>
    <w:rsid w:val="00B019DE"/>
    <w:rsid w:val="00B43970"/>
    <w:rsid w:val="00B926E0"/>
    <w:rsid w:val="00BF1576"/>
    <w:rsid w:val="00C46927"/>
    <w:rsid w:val="00C73DF8"/>
    <w:rsid w:val="00CD693D"/>
    <w:rsid w:val="00D17B4D"/>
    <w:rsid w:val="00D4061D"/>
    <w:rsid w:val="00D70364"/>
    <w:rsid w:val="00E1600F"/>
    <w:rsid w:val="00E37CF7"/>
    <w:rsid w:val="00EA6B22"/>
    <w:rsid w:val="00EC7D75"/>
    <w:rsid w:val="00EF071C"/>
    <w:rsid w:val="00EF50F8"/>
    <w:rsid w:val="00EF6534"/>
    <w:rsid w:val="00F1020B"/>
    <w:rsid w:val="00F27F91"/>
    <w:rsid w:val="00F64FF5"/>
    <w:rsid w:val="00F82621"/>
    <w:rsid w:val="00F90E4B"/>
    <w:rsid w:val="00FE27E8"/>
    <w:rsid w:val="00FF3880"/>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0B93677"/>
  <w15:chartTrackingRefBased/>
  <w15:docId w15:val="{0945A472-E3F5-47CD-BDF3-6639175A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27CE2"/>
    <w:rPr>
      <w:rFonts w:ascii="Tahoma" w:hAnsi="Tahoma" w:cs="Tahoma"/>
      <w:sz w:val="16"/>
      <w:szCs w:val="16"/>
    </w:rPr>
  </w:style>
  <w:style w:type="character" w:customStyle="1" w:styleId="BalloonTextChar">
    <w:name w:val="Balloon Text Char"/>
    <w:link w:val="BalloonText"/>
    <w:rsid w:val="00327CE2"/>
    <w:rPr>
      <w:rFonts w:ascii="Tahoma" w:hAnsi="Tahoma" w:cs="Tahoma"/>
      <w:sz w:val="16"/>
      <w:szCs w:val="16"/>
    </w:rPr>
  </w:style>
  <w:style w:type="table" w:styleId="TableGrid">
    <w:name w:val="Table Grid"/>
    <w:basedOn w:val="TableNormal"/>
    <w:rsid w:val="001C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4973"/>
    <w:pPr>
      <w:tabs>
        <w:tab w:val="center" w:pos="4680"/>
        <w:tab w:val="right" w:pos="9360"/>
      </w:tabs>
    </w:pPr>
  </w:style>
  <w:style w:type="character" w:customStyle="1" w:styleId="HeaderChar">
    <w:name w:val="Header Char"/>
    <w:link w:val="Header"/>
    <w:rsid w:val="000E4973"/>
    <w:rPr>
      <w:sz w:val="24"/>
      <w:szCs w:val="24"/>
    </w:rPr>
  </w:style>
  <w:style w:type="paragraph" w:styleId="Footer">
    <w:name w:val="footer"/>
    <w:basedOn w:val="Normal"/>
    <w:link w:val="FooterChar"/>
    <w:rsid w:val="000E4973"/>
    <w:pPr>
      <w:tabs>
        <w:tab w:val="center" w:pos="4680"/>
        <w:tab w:val="right" w:pos="9360"/>
      </w:tabs>
    </w:pPr>
  </w:style>
  <w:style w:type="character" w:customStyle="1" w:styleId="FooterChar">
    <w:name w:val="Footer Char"/>
    <w:link w:val="Footer"/>
    <w:rsid w:val="000E49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E35C9DE8DC8A48B185CE566CCF1B1D" ma:contentTypeVersion="13" ma:contentTypeDescription="Create a new document." ma:contentTypeScope="" ma:versionID="12de9fa26814c10b1783baf6ecca3046">
  <xsd:schema xmlns:xsd="http://www.w3.org/2001/XMLSchema" xmlns:xs="http://www.w3.org/2001/XMLSchema" xmlns:p="http://schemas.microsoft.com/office/2006/metadata/properties" xmlns:ns3="bba0cf82-5f9c-4499-81fd-178cbccfa478" xmlns:ns4="06fe229b-043a-49df-bd66-6b3f80e0d621" targetNamespace="http://schemas.microsoft.com/office/2006/metadata/properties" ma:root="true" ma:fieldsID="3cca3c34463e6a889da4fc566da39715" ns3:_="" ns4:_="">
    <xsd:import namespace="bba0cf82-5f9c-4499-81fd-178cbccfa478"/>
    <xsd:import namespace="06fe229b-043a-49df-bd66-6b3f80e0d6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cf82-5f9c-4499-81fd-178cbccfa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e229b-043a-49df-bd66-6b3f80e0d6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ba0cf82-5f9c-4499-81fd-178cbccfa478" xsi:nil="true"/>
  </documentManagement>
</p:properties>
</file>

<file path=customXml/itemProps1.xml><?xml version="1.0" encoding="utf-8"?>
<ds:datastoreItem xmlns:ds="http://schemas.openxmlformats.org/officeDocument/2006/customXml" ds:itemID="{9D70E5CB-3417-4E15-90A4-C90C390C905B}">
  <ds:schemaRefs>
    <ds:schemaRef ds:uri="http://schemas.openxmlformats.org/officeDocument/2006/bibliography"/>
  </ds:schemaRefs>
</ds:datastoreItem>
</file>

<file path=customXml/itemProps2.xml><?xml version="1.0" encoding="utf-8"?>
<ds:datastoreItem xmlns:ds="http://schemas.openxmlformats.org/officeDocument/2006/customXml" ds:itemID="{D383DBAA-DEF3-48CB-90B8-728BB7CAC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cf82-5f9c-4499-81fd-178cbccfa478"/>
    <ds:schemaRef ds:uri="06fe229b-043a-49df-bd66-6b3f80e0d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21302-7762-4C5E-B639-4E8A21D154D9}">
  <ds:schemaRefs>
    <ds:schemaRef ds:uri="http://schemas.microsoft.com/sharepoint/v3/contenttype/forms"/>
  </ds:schemaRefs>
</ds:datastoreItem>
</file>

<file path=customXml/itemProps4.xml><?xml version="1.0" encoding="utf-8"?>
<ds:datastoreItem xmlns:ds="http://schemas.openxmlformats.org/officeDocument/2006/customXml" ds:itemID="{6D1ABAA3-BB12-42E4-A21C-17A129BBB747}">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bba0cf82-5f9c-4499-81fd-178cbccfa478"/>
    <ds:schemaRef ds:uri="http://purl.org/dc/dcmitype/"/>
    <ds:schemaRef ds:uri="http://schemas.microsoft.com/office/2006/metadata/properties"/>
    <ds:schemaRef ds:uri="http://schemas.microsoft.com/office/infopath/2007/PartnerControls"/>
    <ds:schemaRef ds:uri="06fe229b-043a-49df-bd66-6b3f80e0d62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January 15 Referendum Timeline</vt:lpstr>
    </vt:vector>
  </TitlesOfParts>
  <Company>Dept. of Health and Human Services</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Referendum Timeline</dc:title>
  <dc:subject/>
  <dc:creator>OIT</dc:creator>
  <cp:keywords/>
  <cp:lastModifiedBy>Cookson, Alexandra</cp:lastModifiedBy>
  <cp:revision>2</cp:revision>
  <cp:lastPrinted>2018-08-03T11:43:00Z</cp:lastPrinted>
  <dcterms:created xsi:type="dcterms:W3CDTF">2023-08-30T14:57:00Z</dcterms:created>
  <dcterms:modified xsi:type="dcterms:W3CDTF">2023-08-30T14:57:00Z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0x010100DDE35C9DE8DC8A48B185CE566CCF1B1D</vt:lpwstr>
  </property>
</Properties>
</file>